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  <w:r>
        <w:drawing>
          <wp:inline xmlns:a="http://schemas.openxmlformats.org/drawingml/2006/main" xmlns:pic="http://schemas.openxmlformats.org/drawingml/2006/picture">
            <wp:extent cx="1655999" cy="28246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s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55999" cy="2824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Calibri" w:hAnsi="Calibri"/>
          <w:b/>
          <w:color w:val="0655A3"/>
          <w:sz w:val="48"/>
        </w:rPr>
        <w:t>Choosing Your Delivery Approach</w:t>
      </w:r>
    </w:p>
    <w:p>
      <w:r>
        <w:rPr>
          <w:rFonts w:ascii="Calibri" w:hAnsi="Calibri"/>
          <w:color w:val="303539"/>
          <w:sz w:val="28"/>
        </w:rPr>
        <w:t>Waterfall, agile or hybrid — and how to tell which you need</w:t>
      </w:r>
    </w:p>
    <w:p>
      <w:r>
        <w:rPr>
          <w:rFonts w:ascii="Calibri" w:hAnsi="Calibri"/>
          <w:color w:val="0655A3"/>
          <w:sz w:val="18"/>
        </w:rPr>
        <w:t>EXPERIENCE  |  KNOWLEDGE  |  RESULTS</w:t>
      </w:r>
    </w:p>
    <w:p>
      <w:pPr>
        <w:pStyle w:val="Heading1"/>
      </w:pPr>
      <w:r>
        <w:t>The short answer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single" w:sz="6" w:color="FFF1DF"/>
          <w:left w:val="single" w:sz="6" w:color="FFF1DF"/>
          <w:bottom w:val="single" w:sz="6" w:color="FFF1DF"/>
          <w:right w:val="single" w:sz="6" w:color="FFF1DF"/>
          <w:insideH w:val="single" w:sz="6" w:color="FFF1DF"/>
          <w:insideV w:val="single" w:sz="6" w:color="FFF1DF"/>
        </w:tblBorders>
      </w:tblPr>
      <w:tblGrid>
        <w:gridCol w:w="9638"/>
      </w:tblGrid>
      <w:tr>
        <w:tc>
          <w:tcPr>
            <w:tcW w:type="dxa" w:w="9638"/>
            <w:shd w:val="clear" w:color="auto" w:fill="FFF1DF"/>
          </w:tcPr>
          <w:p>
            <w:r/>
            <w:r>
              <w:rPr>
                <w:rFonts w:ascii="Calibri" w:hAnsi="Calibri"/>
                <w:b/>
                <w:color w:val="303539"/>
                <w:sz w:val="22"/>
              </w:rPr>
              <w:t>How much is genuinely unknown at the start?</w:t>
              <w:br/>
              <w:br/>
              <w:t>If very little is unknown, waterfall will be faster and cheaper. If a lot is unknown, agile will find it out sooner. Most real change sits between the two, which is why most real delivery is hybrid.</w:t>
            </w:r>
          </w:p>
        </w:tc>
      </w:tr>
    </w:tbl>
    <w:p/>
    <w:p>
      <w:pPr>
        <w:spacing w:after="120"/>
      </w:pPr>
      <w:r>
        <w:rPr>
          <w:rFonts w:ascii="Calibri" w:hAnsi="Calibri"/>
          <w:b w:val="0"/>
          <w:color w:val="303539"/>
          <w:sz w:val="22"/>
        </w:rPr>
        <w:t>The choice is usually made on habit, or on whichever approach the last programme used. Neither is a reason. What follows is how to decide it properly, in about ten minutes.</w:t>
      </w:r>
    </w:p>
    <w:p/>
    <w:p>
      <w:pPr>
        <w:pStyle w:val="Heading1"/>
      </w:pPr>
      <w:r>
        <w:t>Waterfall</w:t>
      </w:r>
    </w:p>
    <w:p>
      <w:pPr>
        <w:spacing w:after="120"/>
      </w:pPr>
      <w:r>
        <w:rPr>
          <w:rFonts w:ascii="Calibri" w:hAnsi="Calibri"/>
          <w:b w:val="0"/>
          <w:color w:val="303539"/>
          <w:sz w:val="22"/>
        </w:rPr>
        <w:t>Plan the whole thing, then build it in sequence. Each stage finishes before the next begins.</w:t>
      </w:r>
    </w:p>
    <w:p>
      <w:pPr>
        <w:spacing w:after="120"/>
      </w:pPr>
      <w:r>
        <w:rPr>
          <w:rFonts w:ascii="Calibri" w:hAnsi="Calibri"/>
          <w:b/>
          <w:color w:val="0655A3"/>
          <w:sz w:val="22"/>
        </w:rPr>
        <w:t>It suits</w:t>
      </w:r>
    </w:p>
    <w:p>
      <w:pPr>
        <w:pStyle w:val="ListBullet"/>
      </w:pPr>
      <w:r>
        <w:rPr>
          <w:rFonts w:ascii="Calibri" w:hAnsi="Calibri"/>
          <w:color w:val="303539"/>
          <w:sz w:val="22"/>
        </w:rPr>
        <w:t>Requirements that are genuinely known and stable.</w:t>
      </w:r>
    </w:p>
    <w:p>
      <w:pPr>
        <w:pStyle w:val="ListBullet"/>
      </w:pPr>
      <w:r>
        <w:rPr>
          <w:rFonts w:ascii="Calibri" w:hAnsi="Calibri"/>
          <w:color w:val="303539"/>
          <w:sz w:val="22"/>
        </w:rPr>
        <w:t>Fixed regulatory or contractual deadlines with defined scope.</w:t>
      </w:r>
    </w:p>
    <w:p>
      <w:pPr>
        <w:pStyle w:val="ListBullet"/>
      </w:pPr>
      <w:r>
        <w:rPr>
          <w:rFonts w:ascii="Calibri" w:hAnsi="Calibri"/>
          <w:color w:val="303539"/>
          <w:sz w:val="22"/>
        </w:rPr>
        <w:t>Work where the cost of changing direction later is very high — physical build, infrastructure, migrations.</w:t>
      </w:r>
    </w:p>
    <w:p>
      <w:pPr>
        <w:pStyle w:val="ListBullet"/>
      </w:pPr>
      <w:r>
        <w:rPr>
          <w:rFonts w:ascii="Calibri" w:hAnsi="Calibri"/>
          <w:color w:val="303539"/>
          <w:sz w:val="22"/>
        </w:rPr>
        <w:t>Environments where an audit trail of formal approvals is required.</w:t>
      </w:r>
    </w:p>
    <w:p>
      <w:pPr>
        <w:spacing w:after="120"/>
      </w:pPr>
      <w:r>
        <w:rPr>
          <w:rFonts w:ascii="Calibri" w:hAnsi="Calibri"/>
          <w:b/>
          <w:color w:val="0655A3"/>
          <w:sz w:val="22"/>
        </w:rPr>
        <w:t>It struggles when</w:t>
      </w:r>
    </w:p>
    <w:p>
      <w:pPr>
        <w:pStyle w:val="ListBullet"/>
      </w:pPr>
      <w:r>
        <w:rPr>
          <w:rFonts w:ascii="Calibri" w:hAnsi="Calibri"/>
          <w:color w:val="303539"/>
          <w:sz w:val="22"/>
        </w:rPr>
        <w:t>Nobody can describe the end state at the start.</w:t>
      </w:r>
    </w:p>
    <w:p>
      <w:pPr>
        <w:pStyle w:val="ListBullet"/>
      </w:pPr>
      <w:r>
        <w:rPr>
          <w:rFonts w:ascii="Calibri" w:hAnsi="Calibri"/>
          <w:color w:val="303539"/>
          <w:sz w:val="22"/>
        </w:rPr>
        <w:t>The business will only know what it wants once it sees something.</w:t>
      </w:r>
    </w:p>
    <w:p>
      <w:pPr>
        <w:pStyle w:val="ListBullet"/>
      </w:pPr>
      <w:r>
        <w:rPr>
          <w:rFonts w:ascii="Calibri" w:hAnsi="Calibri"/>
          <w:color w:val="303539"/>
          <w:sz w:val="22"/>
        </w:rPr>
        <w:t>The market or the policy behind the change is still moving.</w:t>
      </w:r>
    </w:p>
    <w:p/>
    <w:p>
      <w:pPr>
        <w:pStyle w:val="Heading1"/>
      </w:pPr>
      <w:r>
        <w:t>Agile</w:t>
      </w:r>
    </w:p>
    <w:p>
      <w:pPr>
        <w:spacing w:after="120"/>
      </w:pPr>
      <w:r>
        <w:rPr>
          <w:rFonts w:ascii="Calibri" w:hAnsi="Calibri"/>
          <w:b w:val="0"/>
          <w:color w:val="303539"/>
          <w:sz w:val="22"/>
        </w:rPr>
        <w:t>Build in short increments. Show something working, learn from it, and decide what to do next.</w:t>
      </w:r>
    </w:p>
    <w:p>
      <w:pPr>
        <w:spacing w:after="120"/>
      </w:pPr>
      <w:r>
        <w:rPr>
          <w:rFonts w:ascii="Calibri" w:hAnsi="Calibri"/>
          <w:b/>
          <w:color w:val="0655A3"/>
          <w:sz w:val="22"/>
        </w:rPr>
        <w:t>It suits</w:t>
      </w:r>
    </w:p>
    <w:p>
      <w:pPr>
        <w:pStyle w:val="ListBullet"/>
      </w:pPr>
      <w:r>
        <w:rPr>
          <w:rFonts w:ascii="Calibri" w:hAnsi="Calibri"/>
          <w:color w:val="303539"/>
          <w:sz w:val="22"/>
        </w:rPr>
        <w:t>Requirements that will become clearer through use.</w:t>
      </w:r>
    </w:p>
    <w:p>
      <w:pPr>
        <w:pStyle w:val="ListBullet"/>
      </w:pPr>
      <w:r>
        <w:rPr>
          <w:rFonts w:ascii="Calibri" w:hAnsi="Calibri"/>
          <w:color w:val="303539"/>
          <w:sz w:val="22"/>
        </w:rPr>
        <w:t>Products with real users whose feedback changes the answer.</w:t>
      </w:r>
    </w:p>
    <w:p>
      <w:pPr>
        <w:pStyle w:val="ListBullet"/>
      </w:pPr>
      <w:r>
        <w:rPr>
          <w:rFonts w:ascii="Calibri" w:hAnsi="Calibri"/>
          <w:color w:val="303539"/>
          <w:sz w:val="22"/>
        </w:rPr>
        <w:t>Work that can be released in useful pieces.</w:t>
      </w:r>
    </w:p>
    <w:p>
      <w:pPr>
        <w:pStyle w:val="ListBullet"/>
      </w:pPr>
      <w:r>
        <w:rPr>
          <w:rFonts w:ascii="Calibri" w:hAnsi="Calibri"/>
          <w:color w:val="303539"/>
          <w:sz w:val="22"/>
        </w:rPr>
        <w:t>Teams that can be kept together and dedicated.</w:t>
      </w:r>
    </w:p>
    <w:p>
      <w:pPr>
        <w:spacing w:after="120"/>
      </w:pPr>
      <w:r>
        <w:rPr>
          <w:rFonts w:ascii="Calibri" w:hAnsi="Calibri"/>
          <w:b/>
          <w:color w:val="0655A3"/>
          <w:sz w:val="22"/>
        </w:rPr>
        <w:t>It struggles when</w:t>
      </w:r>
    </w:p>
    <w:p>
      <w:pPr>
        <w:pStyle w:val="ListBullet"/>
      </w:pPr>
      <w:r>
        <w:rPr>
          <w:rFonts w:ascii="Calibri" w:hAnsi="Calibri"/>
          <w:color w:val="303539"/>
          <w:sz w:val="22"/>
        </w:rPr>
        <w:t>The scope is genuinely fixed and the deadline is legal.</w:t>
      </w:r>
    </w:p>
    <w:p>
      <w:pPr>
        <w:pStyle w:val="ListBullet"/>
      </w:pPr>
      <w:r>
        <w:rPr>
          <w:rFonts w:ascii="Calibri" w:hAnsi="Calibri"/>
          <w:color w:val="303539"/>
          <w:sz w:val="22"/>
        </w:rPr>
        <w:t>The business cannot free people to take part every sprint.</w:t>
      </w:r>
    </w:p>
    <w:p>
      <w:pPr>
        <w:pStyle w:val="ListBullet"/>
      </w:pPr>
      <w:r>
        <w:rPr>
          <w:rFonts w:ascii="Calibri" w:hAnsi="Calibri"/>
          <w:color w:val="303539"/>
          <w:sz w:val="22"/>
        </w:rPr>
        <w:t>Nothing can be released until all of it is finished.</w:t>
      </w:r>
    </w:p>
    <w:p>
      <w:pPr>
        <w:pStyle w:val="ListBullet"/>
      </w:pPr>
      <w:r>
        <w:rPr>
          <w:rFonts w:ascii="Calibri" w:hAnsi="Calibri"/>
          <w:color w:val="303539"/>
          <w:sz w:val="22"/>
        </w:rPr>
        <w:t>It is adopted as a label without changing how decisions get made.</w:t>
      </w:r>
    </w:p>
    <w:p/>
    <w:p>
      <w:pPr>
        <w:pStyle w:val="Heading1"/>
      </w:pPr>
      <w:r>
        <w:t>Hybrid</w:t>
      </w:r>
    </w:p>
    <w:p>
      <w:pPr>
        <w:spacing w:after="120"/>
      </w:pPr>
      <w:r>
        <w:rPr>
          <w:rFonts w:ascii="Calibri" w:hAnsi="Calibri"/>
          <w:b w:val="0"/>
          <w:color w:val="303539"/>
          <w:sz w:val="22"/>
        </w:rPr>
        <w:t>Governance, funding and stage gates run in a planned sequence. Delivery inside a stage runs in increments.</w:t>
      </w:r>
    </w:p>
    <w:p>
      <w:pPr>
        <w:spacing w:after="120"/>
      </w:pPr>
      <w:r>
        <w:rPr>
          <w:rFonts w:ascii="Calibri" w:hAnsi="Calibri"/>
          <w:b w:val="0"/>
          <w:color w:val="303539"/>
          <w:sz w:val="22"/>
        </w:rPr>
        <w:t>This is where most substantial change actually sits, and pretending otherwise causes more trouble than either pure approach. A board that needs a business case and a gate can still sit above a team that works in sprints.</w:t>
      </w:r>
    </w:p>
    <w:p>
      <w:pPr>
        <w:spacing w:after="120"/>
      </w:pPr>
      <w:r>
        <w:rPr>
          <w:rFonts w:ascii="Calibri" w:hAnsi="Calibri"/>
          <w:b/>
          <w:color w:val="0655A3"/>
          <w:sz w:val="22"/>
        </w:rPr>
        <w:t>It suits</w:t>
      </w:r>
    </w:p>
    <w:p>
      <w:pPr>
        <w:pStyle w:val="ListBullet"/>
      </w:pPr>
      <w:r>
        <w:rPr>
          <w:rFonts w:ascii="Calibri" w:hAnsi="Calibri"/>
          <w:color w:val="303539"/>
          <w:sz w:val="22"/>
        </w:rPr>
        <w:t>Large programmes with a mix of certain and uncertain workstreams.</w:t>
      </w:r>
    </w:p>
    <w:p>
      <w:pPr>
        <w:pStyle w:val="ListBullet"/>
      </w:pPr>
      <w:r>
        <w:rPr>
          <w:rFonts w:ascii="Calibri" w:hAnsi="Calibri"/>
          <w:color w:val="303539"/>
          <w:sz w:val="22"/>
        </w:rPr>
        <w:t>Organisations whose funding and approval cycles are fixed.</w:t>
      </w:r>
    </w:p>
    <w:p>
      <w:pPr>
        <w:pStyle w:val="ListBullet"/>
      </w:pPr>
      <w:r>
        <w:rPr>
          <w:rFonts w:ascii="Calibri" w:hAnsi="Calibri"/>
          <w:color w:val="303539"/>
          <w:sz w:val="22"/>
        </w:rPr>
        <w:t>Change that includes both a system and a way of working.</w:t>
      </w:r>
    </w:p>
    <w:p/>
    <w:p>
      <w:pPr>
        <w:pStyle w:val="Heading1"/>
      </w:pPr>
      <w:r>
        <w:t>Deciding</w:t>
      </w:r>
    </w:p>
    <w:p>
      <w:pPr>
        <w:spacing w:after="120"/>
      </w:pPr>
      <w:r>
        <w:rPr>
          <w:rFonts w:ascii="Calibri" w:hAnsi="Calibri"/>
          <w:b w:val="0"/>
          <w:color w:val="303539"/>
          <w:sz w:val="20"/>
        </w:rPr>
        <w:t>Score each row. More marks on the left points to waterfall, more on the right points to agile, a spread points to hybrid.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single" w:sz="6" w:color="EAF3FB"/>
          <w:left w:val="single" w:sz="6" w:color="EAF3FB"/>
          <w:bottom w:val="single" w:sz="6" w:color="EAF3FB"/>
          <w:right w:val="single" w:sz="6" w:color="EAF3FB"/>
          <w:insideH w:val="single" w:sz="6" w:color="EAF3FB"/>
          <w:insideV w:val="single" w:sz="6" w:color="EAF3FB"/>
        </w:tblBorders>
      </w:tblPr>
      <w:tblGrid>
        <w:gridCol w:w="3213"/>
        <w:gridCol w:w="3213"/>
        <w:gridCol w:w="3213"/>
      </w:tblGrid>
      <w:tr>
        <w:tc>
          <w:tcPr>
            <w:tcW w:type="dxa" w:w="3402"/>
            <w:shd w:val="clear" w:color="auto" w:fill="0655A3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Question</w:t>
            </w:r>
          </w:p>
        </w:tc>
        <w:tc>
          <w:tcPr>
            <w:tcW w:type="dxa" w:w="2948"/>
            <w:shd w:val="clear" w:color="auto" w:fill="0655A3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Points to waterfall</w:t>
            </w:r>
          </w:p>
        </w:tc>
        <w:tc>
          <w:tcPr>
            <w:tcW w:type="dxa" w:w="3005"/>
            <w:shd w:val="clear" w:color="auto" w:fill="0655A3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Points to agile</w:t>
            </w:r>
          </w:p>
        </w:tc>
      </w:tr>
      <w:tr>
        <w:tc>
          <w:tcPr>
            <w:tcW w:type="dxa" w:w="3402"/>
          </w:tcPr>
          <w:p>
            <w:r/>
            <w:r>
              <w:rPr>
                <w:rFonts w:ascii="Calibri" w:hAnsi="Calibri"/>
                <w:b/>
                <w:color w:val="0655A3"/>
                <w:sz w:val="20"/>
              </w:rPr>
              <w:t>How well is the end state understood?</w:t>
            </w:r>
          </w:p>
        </w:tc>
        <w:tc>
          <w:tcPr>
            <w:tcW w:type="dxa" w:w="2948"/>
          </w:tcPr>
          <w:p>
            <w:r/>
            <w:r>
              <w:rPr>
                <w:rFonts w:ascii="Calibri" w:hAnsi="Calibri"/>
                <w:b w:val="0"/>
                <w:color w:val="303539"/>
                <w:sz w:val="20"/>
              </w:rPr>
              <w:t>Clearly defined and agreed</w:t>
            </w:r>
          </w:p>
        </w:tc>
        <w:tc>
          <w:tcPr>
            <w:tcW w:type="dxa" w:w="3005"/>
          </w:tcPr>
          <w:p>
            <w:r/>
            <w:r>
              <w:rPr>
                <w:rFonts w:ascii="Calibri" w:hAnsi="Calibri"/>
                <w:b w:val="0"/>
                <w:color w:val="303539"/>
                <w:sz w:val="20"/>
              </w:rPr>
              <w:t>Broadly known, detail will emerge</w:t>
            </w:r>
          </w:p>
        </w:tc>
      </w:tr>
      <w:tr>
        <w:tc>
          <w:tcPr>
            <w:tcW w:type="dxa" w:w="3402"/>
            <w:shd w:val="clear" w:color="auto" w:fill="EAF3FB"/>
          </w:tcPr>
          <w:p>
            <w:r/>
            <w:r>
              <w:rPr>
                <w:rFonts w:ascii="Calibri" w:hAnsi="Calibri"/>
                <w:b/>
                <w:color w:val="0655A3"/>
                <w:sz w:val="20"/>
              </w:rPr>
              <w:t>How likely is scope to change?</w:t>
            </w:r>
          </w:p>
        </w:tc>
        <w:tc>
          <w:tcPr>
            <w:tcW w:type="dxa" w:w="2948"/>
            <w:shd w:val="clear" w:color="auto" w:fill="EAF3FB"/>
          </w:tcPr>
          <w:p>
            <w:r/>
            <w:r>
              <w:rPr>
                <w:rFonts w:ascii="Calibri" w:hAnsi="Calibri"/>
                <w:b w:val="0"/>
                <w:color w:val="303539"/>
                <w:sz w:val="20"/>
              </w:rPr>
              <w:t>Low — it is fixed</w:t>
            </w:r>
          </w:p>
        </w:tc>
        <w:tc>
          <w:tcPr>
            <w:tcW w:type="dxa" w:w="3005"/>
            <w:shd w:val="clear" w:color="auto" w:fill="EAF3FB"/>
          </w:tcPr>
          <w:p>
            <w:r/>
            <w:r>
              <w:rPr>
                <w:rFonts w:ascii="Calibri" w:hAnsi="Calibri"/>
                <w:b w:val="0"/>
                <w:color w:val="303539"/>
                <w:sz w:val="20"/>
              </w:rPr>
              <w:t>High — it should change as we learn</w:t>
            </w:r>
          </w:p>
        </w:tc>
      </w:tr>
      <w:tr>
        <w:tc>
          <w:tcPr>
            <w:tcW w:type="dxa" w:w="3402"/>
          </w:tcPr>
          <w:p>
            <w:r/>
            <w:r>
              <w:rPr>
                <w:rFonts w:ascii="Calibri" w:hAnsi="Calibri"/>
                <w:b/>
                <w:color w:val="0655A3"/>
                <w:sz w:val="20"/>
              </w:rPr>
              <w:t>Can it be released in pieces?</w:t>
            </w:r>
          </w:p>
        </w:tc>
        <w:tc>
          <w:tcPr>
            <w:tcW w:type="dxa" w:w="2948"/>
          </w:tcPr>
          <w:p>
            <w:r/>
            <w:r>
              <w:rPr>
                <w:rFonts w:ascii="Calibri" w:hAnsi="Calibri"/>
                <w:b w:val="0"/>
                <w:color w:val="303539"/>
                <w:sz w:val="20"/>
              </w:rPr>
              <w:t>No — it is all or nothing</w:t>
            </w:r>
          </w:p>
        </w:tc>
        <w:tc>
          <w:tcPr>
            <w:tcW w:type="dxa" w:w="3005"/>
          </w:tcPr>
          <w:p>
            <w:r/>
            <w:r>
              <w:rPr>
                <w:rFonts w:ascii="Calibri" w:hAnsi="Calibri"/>
                <w:b w:val="0"/>
                <w:color w:val="303539"/>
                <w:sz w:val="20"/>
              </w:rPr>
              <w:t>Yes — pieces are useful on their own</w:t>
            </w:r>
          </w:p>
        </w:tc>
      </w:tr>
      <w:tr>
        <w:tc>
          <w:tcPr>
            <w:tcW w:type="dxa" w:w="3402"/>
            <w:shd w:val="clear" w:color="auto" w:fill="EAF3FB"/>
          </w:tcPr>
          <w:p>
            <w:r/>
            <w:r>
              <w:rPr>
                <w:rFonts w:ascii="Calibri" w:hAnsi="Calibri"/>
                <w:b/>
                <w:color w:val="0655A3"/>
                <w:sz w:val="20"/>
              </w:rPr>
              <w:t>How available is the business?</w:t>
            </w:r>
          </w:p>
        </w:tc>
        <w:tc>
          <w:tcPr>
            <w:tcW w:type="dxa" w:w="2948"/>
            <w:shd w:val="clear" w:color="auto" w:fill="EAF3FB"/>
          </w:tcPr>
          <w:p>
            <w:r/>
            <w:r>
              <w:rPr>
                <w:rFonts w:ascii="Calibri" w:hAnsi="Calibri"/>
                <w:b w:val="0"/>
                <w:color w:val="303539"/>
                <w:sz w:val="20"/>
              </w:rPr>
              <w:t>Available at gates</w:t>
            </w:r>
          </w:p>
        </w:tc>
        <w:tc>
          <w:tcPr>
            <w:tcW w:type="dxa" w:w="3005"/>
            <w:shd w:val="clear" w:color="auto" w:fill="EAF3FB"/>
          </w:tcPr>
          <w:p>
            <w:r/>
            <w:r>
              <w:rPr>
                <w:rFonts w:ascii="Calibri" w:hAnsi="Calibri"/>
                <w:b w:val="0"/>
                <w:color w:val="303539"/>
                <w:sz w:val="20"/>
              </w:rPr>
              <w:t>Available continuously</w:t>
            </w:r>
          </w:p>
        </w:tc>
      </w:tr>
      <w:tr>
        <w:tc>
          <w:tcPr>
            <w:tcW w:type="dxa" w:w="3402"/>
          </w:tcPr>
          <w:p>
            <w:r/>
            <w:r>
              <w:rPr>
                <w:rFonts w:ascii="Calibri" w:hAnsi="Calibri"/>
                <w:b/>
                <w:color w:val="0655A3"/>
                <w:sz w:val="20"/>
              </w:rPr>
              <w:t>What does the deadline look like?</w:t>
            </w:r>
          </w:p>
        </w:tc>
        <w:tc>
          <w:tcPr>
            <w:tcW w:type="dxa" w:w="2948"/>
          </w:tcPr>
          <w:p>
            <w:r/>
            <w:r>
              <w:rPr>
                <w:rFonts w:ascii="Calibri" w:hAnsi="Calibri"/>
                <w:b w:val="0"/>
                <w:color w:val="303539"/>
                <w:sz w:val="20"/>
              </w:rPr>
              <w:t>Fixed date, fixed scope</w:t>
            </w:r>
          </w:p>
        </w:tc>
        <w:tc>
          <w:tcPr>
            <w:tcW w:type="dxa" w:w="3005"/>
          </w:tcPr>
          <w:p>
            <w:r/>
            <w:r>
              <w:rPr>
                <w:rFonts w:ascii="Calibri" w:hAnsi="Calibri"/>
                <w:b w:val="0"/>
                <w:color w:val="303539"/>
                <w:sz w:val="20"/>
              </w:rPr>
              <w:t>Fixed date, flexible scope</w:t>
            </w:r>
          </w:p>
        </w:tc>
      </w:tr>
      <w:tr>
        <w:tc>
          <w:tcPr>
            <w:tcW w:type="dxa" w:w="3402"/>
            <w:shd w:val="clear" w:color="auto" w:fill="EAF3FB"/>
          </w:tcPr>
          <w:p>
            <w:r/>
            <w:r>
              <w:rPr>
                <w:rFonts w:ascii="Calibri" w:hAnsi="Calibri"/>
                <w:b/>
                <w:color w:val="0655A3"/>
                <w:sz w:val="20"/>
              </w:rPr>
              <w:t>What is the cost of a late change?</w:t>
            </w:r>
          </w:p>
        </w:tc>
        <w:tc>
          <w:tcPr>
            <w:tcW w:type="dxa" w:w="2948"/>
            <w:shd w:val="clear" w:color="auto" w:fill="EAF3FB"/>
          </w:tcPr>
          <w:p>
            <w:r/>
            <w:r>
              <w:rPr>
                <w:rFonts w:ascii="Calibri" w:hAnsi="Calibri"/>
                <w:b w:val="0"/>
                <w:color w:val="303539"/>
                <w:sz w:val="20"/>
              </w:rPr>
              <w:t>Very high</w:t>
            </w:r>
          </w:p>
        </w:tc>
        <w:tc>
          <w:tcPr>
            <w:tcW w:type="dxa" w:w="3005"/>
            <w:shd w:val="clear" w:color="auto" w:fill="EAF3FB"/>
          </w:tcPr>
          <w:p>
            <w:r/>
            <w:r>
              <w:rPr>
                <w:rFonts w:ascii="Calibri" w:hAnsi="Calibri"/>
                <w:b w:val="0"/>
                <w:color w:val="303539"/>
                <w:sz w:val="20"/>
              </w:rPr>
              <w:t>Manageable</w:t>
            </w:r>
          </w:p>
        </w:tc>
      </w:tr>
      <w:tr>
        <w:tc>
          <w:tcPr>
            <w:tcW w:type="dxa" w:w="3402"/>
          </w:tcPr>
          <w:p>
            <w:r/>
            <w:r>
              <w:rPr>
                <w:rFonts w:ascii="Calibri" w:hAnsi="Calibri"/>
                <w:b/>
                <w:color w:val="0655A3"/>
                <w:sz w:val="20"/>
              </w:rPr>
              <w:t>How stable is the team?</w:t>
            </w:r>
          </w:p>
        </w:tc>
        <w:tc>
          <w:tcPr>
            <w:tcW w:type="dxa" w:w="2948"/>
          </w:tcPr>
          <w:p>
            <w:r/>
            <w:r>
              <w:rPr>
                <w:rFonts w:ascii="Calibri" w:hAnsi="Calibri"/>
                <w:b w:val="0"/>
                <w:color w:val="303539"/>
                <w:sz w:val="20"/>
              </w:rPr>
              <w:t>Assembled per stage</w:t>
            </w:r>
          </w:p>
        </w:tc>
        <w:tc>
          <w:tcPr>
            <w:tcW w:type="dxa" w:w="3005"/>
          </w:tcPr>
          <w:p>
            <w:r/>
            <w:r>
              <w:rPr>
                <w:rFonts w:ascii="Calibri" w:hAnsi="Calibri"/>
                <w:b w:val="0"/>
                <w:color w:val="303539"/>
                <w:sz w:val="20"/>
              </w:rPr>
              <w:t>Dedicated and kept together</w:t>
            </w:r>
          </w:p>
        </w:tc>
      </w:tr>
    </w:tbl>
    <w:p/>
    <w:tbl>
      <w:tblPr>
        <w:tblW w:type="auto" w:w="0"/>
        <w:jc w:val="left"/>
        <w:tblLook w:firstColumn="1" w:firstRow="1" w:lastColumn="0" w:lastRow="0" w:noHBand="0" w:noVBand="1" w:val="04A0"/>
        <w:tblBorders>
          <w:top w:val="single" w:sz="6" w:color="EAF3FB"/>
          <w:left w:val="single" w:sz="6" w:color="EAF3FB"/>
          <w:bottom w:val="single" w:sz="6" w:color="EAF3FB"/>
          <w:right w:val="single" w:sz="6" w:color="EAF3FB"/>
          <w:insideH w:val="single" w:sz="6" w:color="EAF3FB"/>
          <w:insideV w:val="single" w:sz="6" w:color="EAF3FB"/>
        </w:tblBorders>
      </w:tblPr>
      <w:tblGrid>
        <w:gridCol w:w="9638"/>
      </w:tblGrid>
      <w:tr>
        <w:tc>
          <w:tcPr>
            <w:tcW w:type="dxa" w:w="9638"/>
            <w:shd w:val="clear" w:color="auto" w:fill="EAF3FB"/>
          </w:tcPr>
          <w:p>
            <w:r/>
            <w:r>
              <w:rPr>
                <w:rFonts w:ascii="Calibri" w:hAnsi="Calibri"/>
                <w:b w:val="0"/>
                <w:color w:val="303539"/>
                <w:sz w:val="22"/>
              </w:rPr>
              <w:t>If the answers are split roughly down the middle, that is not a failure of the test. That is the test telling you the answer is hybrid.</w:t>
            </w:r>
          </w:p>
        </w:tc>
      </w:tr>
    </w:tbl>
    <w:p/>
    <w:p>
      <w:pPr>
        <w:pStyle w:val="Heading1"/>
      </w:pPr>
      <w:r>
        <w:t>What does not change, whichever you choose</w:t>
      </w:r>
    </w:p>
    <w:p>
      <w:pPr>
        <w:spacing w:after="120"/>
      </w:pPr>
      <w:r>
        <w:rPr>
          <w:rFonts w:ascii="Calibri" w:hAnsi="Calibri"/>
          <w:b w:val="0"/>
          <w:color w:val="303539"/>
          <w:sz w:val="22"/>
        </w:rPr>
        <w:t>The approach decides how the work is sequenced. It does not decide whether the change succeeds. Three things apply to all three approaches.</w:t>
      </w:r>
    </w:p>
    <w:p/>
    <w:tbl>
      <w:tblPr>
        <w:tblW w:type="auto" w:w="0"/>
        <w:jc w:val="left"/>
        <w:tblLook w:firstColumn="1" w:firstRow="1" w:lastColumn="0" w:lastRow="0" w:noHBand="0" w:noVBand="1" w:val="04A0"/>
        <w:tblBorders>
          <w:top w:val="single" w:sz="6" w:color="EAF3FB"/>
          <w:left w:val="single" w:sz="6" w:color="EAF3FB"/>
          <w:bottom w:val="single" w:sz="6" w:color="EAF3FB"/>
          <w:right w:val="single" w:sz="6" w:color="EAF3FB"/>
          <w:insideH w:val="single" w:sz="6" w:color="EAF3FB"/>
          <w:insideV w:val="single" w:sz="6" w:color="EAF3FB"/>
        </w:tblBorders>
      </w:tblPr>
      <w:tblGrid>
        <w:gridCol w:w="3213"/>
        <w:gridCol w:w="3213"/>
        <w:gridCol w:w="3213"/>
      </w:tblGrid>
      <w:tr>
        <w:tc>
          <w:tcPr>
            <w:tcW w:type="dxa" w:w="2041"/>
            <w:shd w:val="clear" w:color="auto" w:fill="0655A3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</w:r>
          </w:p>
        </w:tc>
        <w:tc>
          <w:tcPr>
            <w:tcW w:type="dxa" w:w="3402"/>
            <w:shd w:val="clear" w:color="auto" w:fill="0655A3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What it means</w:t>
            </w:r>
          </w:p>
        </w:tc>
        <w:tc>
          <w:tcPr>
            <w:tcW w:type="dxa" w:w="3912"/>
            <w:shd w:val="clear" w:color="auto" w:fill="0655A3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What it looks like in practice</w:t>
            </w:r>
          </w:p>
        </w:tc>
      </w:tr>
      <w:tr>
        <w:tc>
          <w:tcPr>
            <w:tcW w:type="dxa" w:w="2041"/>
          </w:tcPr>
          <w:p>
            <w:r/>
            <w:r>
              <w:rPr>
                <w:rFonts w:ascii="Calibri" w:hAnsi="Calibri"/>
                <w:b/>
                <w:color w:val="0655A3"/>
                <w:sz w:val="20"/>
              </w:rPr>
              <w:t>One Team</w:t>
            </w:r>
          </w:p>
        </w:tc>
        <w:tc>
          <w:tcPr>
            <w:tcW w:type="dxa" w:w="3402"/>
          </w:tcPr>
          <w:p>
            <w:r/>
            <w:r>
              <w:rPr>
                <w:rFonts w:ascii="Calibri" w:hAnsi="Calibri"/>
                <w:b w:val="0"/>
                <w:color w:val="303539"/>
                <w:sz w:val="20"/>
              </w:rPr>
              <w:t>The right people, with a shared vision and shared values.</w:t>
            </w:r>
          </w:p>
        </w:tc>
        <w:tc>
          <w:tcPr>
            <w:tcW w:type="dxa" w:w="3912"/>
          </w:tcPr>
          <w:p>
            <w:r/>
            <w:r>
              <w:rPr>
                <w:rFonts w:ascii="Calibri" w:hAnsi="Calibri"/>
                <w:b w:val="0"/>
                <w:color w:val="303539"/>
                <w:sz w:val="20"/>
              </w:rPr>
              <w:t>Strategists, gamechangers, implementers, polishers and orchestrators are different strengths. A team of one type fails predictably.</w:t>
            </w:r>
          </w:p>
        </w:tc>
      </w:tr>
      <w:tr>
        <w:tc>
          <w:tcPr>
            <w:tcW w:type="dxa" w:w="2041"/>
            <w:shd w:val="clear" w:color="auto" w:fill="EAF3FB"/>
          </w:tcPr>
          <w:p>
            <w:r/>
            <w:r>
              <w:rPr>
                <w:rFonts w:ascii="Calibri" w:hAnsi="Calibri"/>
                <w:b/>
                <w:color w:val="0655A3"/>
                <w:sz w:val="20"/>
              </w:rPr>
              <w:t>Business Adoption</w:t>
            </w:r>
          </w:p>
        </w:tc>
        <w:tc>
          <w:tcPr>
            <w:tcW w:type="dxa" w:w="3402"/>
            <w:shd w:val="clear" w:color="auto" w:fill="EAF3FB"/>
          </w:tcPr>
          <w:p>
            <w:r/>
            <w:r>
              <w:rPr>
                <w:rFonts w:ascii="Calibri" w:hAnsi="Calibri"/>
                <w:b w:val="0"/>
                <w:color w:val="303539"/>
                <w:sz w:val="20"/>
              </w:rPr>
              <w:t>Change only counts once people work differently.</w:t>
            </w:r>
          </w:p>
        </w:tc>
        <w:tc>
          <w:tcPr>
            <w:tcW w:type="dxa" w:w="3912"/>
            <w:shd w:val="clear" w:color="auto" w:fill="EAF3FB"/>
          </w:tcPr>
          <w:p>
            <w:r/>
            <w:r>
              <w:rPr>
                <w:rFonts w:ascii="Calibri" w:hAnsi="Calibri"/>
                <w:b w:val="0"/>
                <w:color w:val="303539"/>
                <w:sz w:val="20"/>
              </w:rPr>
              <w:t>A stream of business activity running alongside delivery, from the start — not a training course bolted on at the end.</w:t>
            </w:r>
          </w:p>
        </w:tc>
      </w:tr>
      <w:tr>
        <w:tc>
          <w:tcPr>
            <w:tcW w:type="dxa" w:w="2041"/>
          </w:tcPr>
          <w:p>
            <w:r/>
            <w:r>
              <w:rPr>
                <w:rFonts w:ascii="Calibri" w:hAnsi="Calibri"/>
                <w:b/>
                <w:color w:val="0655A3"/>
                <w:sz w:val="20"/>
              </w:rPr>
              <w:t>Intelligent Delivery</w:t>
            </w:r>
          </w:p>
        </w:tc>
        <w:tc>
          <w:tcPr>
            <w:tcW w:type="dxa" w:w="3402"/>
          </w:tcPr>
          <w:p>
            <w:r/>
            <w:r>
              <w:rPr>
                <w:rFonts w:ascii="Calibri" w:hAnsi="Calibri"/>
                <w:b w:val="0"/>
                <w:color w:val="303539"/>
                <w:sz w:val="20"/>
              </w:rPr>
              <w:t>Sequence the work by risk and business priority.</w:t>
            </w:r>
          </w:p>
        </w:tc>
        <w:tc>
          <w:tcPr>
            <w:tcW w:type="dxa" w:w="3912"/>
          </w:tcPr>
          <w:p>
            <w:r/>
            <w:r>
              <w:rPr>
                <w:rFonts w:ascii="Calibri" w:hAnsi="Calibri"/>
                <w:b w:val="0"/>
                <w:color w:val="303539"/>
                <w:sz w:val="20"/>
              </w:rPr>
              <w:t>Clear priorities, governance that decides, testing that is proportionate, and go-live accepted by both delivery and the business.</w:t>
            </w:r>
          </w:p>
        </w:tc>
      </w:tr>
    </w:tbl>
    <w:p/>
    <w:tbl>
      <w:tblPr>
        <w:tblW w:type="auto" w:w="0"/>
        <w:jc w:val="left"/>
        <w:tblLook w:firstColumn="1" w:firstRow="1" w:lastColumn="0" w:lastRow="0" w:noHBand="0" w:noVBand="1" w:val="04A0"/>
        <w:tblBorders>
          <w:top w:val="single" w:sz="6" w:color="EAF6D8"/>
          <w:left w:val="single" w:sz="6" w:color="EAF6D8"/>
          <w:bottom w:val="single" w:sz="6" w:color="EAF6D8"/>
          <w:right w:val="single" w:sz="6" w:color="EAF6D8"/>
          <w:insideH w:val="single" w:sz="6" w:color="EAF6D8"/>
          <w:insideV w:val="single" w:sz="6" w:color="EAF6D8"/>
        </w:tblBorders>
      </w:tblPr>
      <w:tblGrid>
        <w:gridCol w:w="9638"/>
      </w:tblGrid>
      <w:tr>
        <w:tc>
          <w:tcPr>
            <w:tcW w:type="dxa" w:w="9638"/>
            <w:shd w:val="clear" w:color="auto" w:fill="EAF6D8"/>
          </w:tcPr>
          <w:p>
            <w:r/>
            <w:r>
              <w:rPr>
                <w:rFonts w:ascii="Calibri" w:hAnsi="Calibri"/>
                <w:b/>
                <w:color w:val="303539"/>
                <w:sz w:val="22"/>
              </w:rPr>
              <w:t>Go-live is accepted twice: once by delivery, once by the business. That single rule holds whichever approach you picked, and it is the one most often skipped.</w:t>
            </w:r>
          </w:p>
        </w:tc>
      </w:tr>
    </w:tbl>
    <w:p/>
    <w:p>
      <w:pPr>
        <w:pStyle w:val="Heading1"/>
      </w:pPr>
      <w:r>
        <w:t>Which templates to use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single" w:sz="6" w:color="EAF3FB"/>
          <w:left w:val="single" w:sz="6" w:color="EAF3FB"/>
          <w:bottom w:val="single" w:sz="6" w:color="EAF3FB"/>
          <w:right w:val="single" w:sz="6" w:color="EAF3FB"/>
          <w:insideH w:val="single" w:sz="6" w:color="EAF3FB"/>
          <w:insideV w:val="single" w:sz="6" w:color="EAF3FB"/>
        </w:tblBorders>
      </w:tblPr>
      <w:tblGrid>
        <w:gridCol w:w="4819"/>
        <w:gridCol w:w="4819"/>
      </w:tblGrid>
      <w:tr>
        <w:tc>
          <w:tcPr>
            <w:tcW w:type="dxa" w:w="2551"/>
            <w:shd w:val="clear" w:color="auto" w:fill="0655A3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If you chose</w:t>
            </w:r>
          </w:p>
        </w:tc>
        <w:tc>
          <w:tcPr>
            <w:tcW w:type="dxa" w:w="6803"/>
            <w:shd w:val="clear" w:color="auto" w:fill="0655A3"/>
          </w:tcPr>
          <w:p>
            <w:r/>
            <w:r>
              <w:rPr>
                <w:rFonts w:ascii="Calibri" w:hAnsi="Calibri"/>
                <w:b/>
                <w:color w:val="FFFFFF"/>
                <w:sz w:val="20"/>
              </w:rPr>
              <w:t>Start with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Calibri" w:hAnsi="Calibri"/>
                <w:b/>
                <w:color w:val="0655A3"/>
                <w:sz w:val="20"/>
              </w:rPr>
              <w:t>Waterfall</w:t>
            </w:r>
          </w:p>
        </w:tc>
        <w:tc>
          <w:tcPr>
            <w:tcW w:type="dxa" w:w="6803"/>
          </w:tcPr>
          <w:p>
            <w:r/>
            <w:r>
              <w:rPr>
                <w:rFonts w:ascii="Calibri" w:hAnsi="Calibri"/>
                <w:b w:val="0"/>
                <w:color w:val="303539"/>
                <w:sz w:val="20"/>
              </w:rPr>
              <w:t>Project Charter · Business Case · Requirements Specification · MoSCoW Prioritisation · Test Strategy · Go-Live Readiness Assessment · Post-Implementation Review</w:t>
            </w:r>
          </w:p>
        </w:tc>
      </w:tr>
      <w:tr>
        <w:tc>
          <w:tcPr>
            <w:tcW w:type="dxa" w:w="2551"/>
            <w:shd w:val="clear" w:color="auto" w:fill="EAF3FB"/>
          </w:tcPr>
          <w:p>
            <w:r/>
            <w:r>
              <w:rPr>
                <w:rFonts w:ascii="Calibri" w:hAnsi="Calibri"/>
                <w:b/>
                <w:color w:val="0655A3"/>
                <w:sz w:val="20"/>
              </w:rPr>
              <w:t>Agile</w:t>
            </w:r>
          </w:p>
        </w:tc>
        <w:tc>
          <w:tcPr>
            <w:tcW w:type="dxa" w:w="6803"/>
            <w:shd w:val="clear" w:color="auto" w:fill="EAF3FB"/>
          </w:tcPr>
          <w:p>
            <w:r/>
            <w:r>
              <w:rPr>
                <w:rFonts w:ascii="Calibri" w:hAnsi="Calibri"/>
                <w:b w:val="0"/>
                <w:color w:val="303539"/>
                <w:sz w:val="20"/>
              </w:rPr>
              <w:t>Product Vision and Roadmap · Product Backlog · User Story template · Definition of Ready and Done · Sprint Plan · Release Plan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Calibri" w:hAnsi="Calibri"/>
                <w:b/>
                <w:color w:val="0655A3"/>
                <w:sz w:val="20"/>
              </w:rPr>
              <w:t>Hybrid</w:t>
            </w:r>
          </w:p>
        </w:tc>
        <w:tc>
          <w:tcPr>
            <w:tcW w:type="dxa" w:w="6803"/>
          </w:tcPr>
          <w:p>
            <w:r/>
            <w:r>
              <w:rPr>
                <w:rFonts w:ascii="Calibri" w:hAnsi="Calibri"/>
                <w:b w:val="0"/>
                <w:color w:val="303539"/>
                <w:sz w:val="20"/>
              </w:rPr>
              <w:t>Business Case and Stage Gates for governance, plus the agile set inside each stage</w:t>
            </w:r>
          </w:p>
        </w:tc>
      </w:tr>
      <w:tr>
        <w:tc>
          <w:tcPr>
            <w:tcW w:type="dxa" w:w="2551"/>
            <w:shd w:val="clear" w:color="auto" w:fill="EAF3FB"/>
          </w:tcPr>
          <w:p>
            <w:r/>
            <w:r>
              <w:rPr>
                <w:rFonts w:ascii="Calibri" w:hAnsi="Calibri"/>
                <w:b/>
                <w:color w:val="0655A3"/>
                <w:sz w:val="20"/>
              </w:rPr>
              <w:t>All three</w:t>
            </w:r>
          </w:p>
        </w:tc>
        <w:tc>
          <w:tcPr>
            <w:tcW w:type="dxa" w:w="6803"/>
            <w:shd w:val="clear" w:color="auto" w:fill="EAF3FB"/>
          </w:tcPr>
          <w:p>
            <w:r/>
            <w:r>
              <w:rPr>
                <w:rFonts w:ascii="Calibri" w:hAnsi="Calibri"/>
                <w:b w:val="0"/>
                <w:color w:val="303539"/>
                <w:sz w:val="20"/>
              </w:rPr>
              <w:t>RAID Log · Decision Log · Change Request Form · Status Report · Stakeholder Map · Business Adoption Plan · Benefits Tracker</w:t>
            </w:r>
          </w:p>
        </w:tc>
      </w:tr>
    </w:tbl>
    <w:p>
      <w:pPr>
        <w:spacing w:after="40"/>
      </w:pPr>
      <w:r>
        <w:rPr>
          <w:rFonts w:ascii="Calibri" w:hAnsi="Calibri"/>
          <w:b/>
          <w:color w:val="0655A3"/>
          <w:sz w:val="20"/>
        </w:rPr>
        <w:t>Where this sits</w:t>
      </w:r>
    </w:p>
    <w:p>
      <w:pPr>
        <w:spacing w:after="0"/>
      </w:pPr>
      <w:r>
        <w:rPr>
          <w:rFonts w:ascii="Calibri" w:hAnsi="Calibri"/>
          <w:b w:val="0"/>
          <w:color w:val="303539"/>
          <w:sz w:val="16"/>
        </w:rPr>
        <w:t>Comes from: Nothing — this is where you start when the approach is not yet decided.</w:t>
      </w:r>
    </w:p>
    <w:p>
      <w:pPr>
        <w:spacing w:after="120"/>
      </w:pPr>
      <w:r>
        <w:rPr>
          <w:rFonts w:ascii="Calibri" w:hAnsi="Calibri"/>
          <w:b w:val="0"/>
          <w:color w:val="303539"/>
          <w:sz w:val="16"/>
        </w:rPr>
        <w:t>Feeds: The Waterfall Delivery Guide, the Agile Delivery Guide or the Hybrid Delivery Guide. Then the Initiation Request.</w:t>
      </w:r>
    </w:p>
    <w:p>
      <w:pPr>
        <w:spacing w:after="0"/>
      </w:pPr>
      <w:r>
        <w:rPr>
          <w:rFonts w:ascii="Calibri" w:hAnsi="Calibri"/>
          <w:b/>
          <w:color w:val="0655A3"/>
          <w:sz w:val="16"/>
        </w:rPr>
        <w:t>CS Template Library v1.0 · August 2026</w:t>
      </w:r>
    </w:p>
    <w:p>
      <w:pPr>
        <w:spacing w:after="120"/>
      </w:pPr>
      <w:r>
        <w:rPr>
          <w:rFonts w:ascii="Calibri" w:hAnsi="Calibri"/>
          <w:b w:val="0"/>
          <w:color w:val="303539"/>
          <w:sz w:val="16"/>
        </w:rPr>
        <w:t>Something wrong with this template? Tell us which one and what happened: backoffice@changespecialists.co.uk</w:t>
      </w:r>
    </w:p>
    <w:sectPr w:rsidR="00FC693F" w:rsidRPr="0006063C" w:rsidSect="00034616">
      <w:footerReference w:type="default" r:id="rId10"/>
      <w:pgSz w:w="11906" w:h="16838"/>
      <w:pgMar w:top="1134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/>
    <w:r>
      <w:rPr>
        <w:rFonts w:ascii="Calibri" w:hAnsi="Calibri"/>
        <w:color w:val="303539"/>
        <w:sz w:val="16"/>
      </w:rPr>
      <w:t>Change Specialists</w:t>
    </w:r>
    <w:r>
      <w:rPr>
        <w:rFonts w:ascii="Calibri" w:hAnsi="Calibri"/>
        <w:color w:val="303539"/>
        <w:sz w:val="16"/>
      </w:rPr>
      <w:t xml:space="preserve">  ·  v1.0  ·  August 2026</w:t>
    </w:r>
    <w:r>
      <w:tab/>
      <w:tab/>
    </w:r>
    <w:fldSimple w:instr="PAGE">
      <w:r>
        <w:rPr>
          <w:sz w:val="16"/>
          <w:color w:val="303539"/>
        </w:rPr>
      </w:r>
    </w:fldSimple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Calibri" w:hAnsi="Calibri" w:cs="Calibri" w:eastAsia="Calibri"/>
      <w:color w:val="303539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 w:ascii="Calibri" w:hAnsi="Calibri"/>
      <w:b/>
      <w:bCs/>
      <w:color w:val="0655A3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80"/>
      <w:outlineLvl w:val="1"/>
    </w:pPr>
    <w:rPr>
      <w:rFonts w:asciiTheme="majorHAnsi" w:eastAsiaTheme="majorEastAsia" w:hAnsiTheme="majorHAnsi" w:cstheme="majorBidi" w:ascii="Calibri" w:hAnsi="Calibri"/>
      <w:b/>
      <w:bCs/>
      <w:color w:val="0655A3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0655A3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303539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303539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303539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303539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303539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303539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303539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303539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303539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303539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303539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303539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303539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303539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303539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303539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303539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303539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303539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303539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0353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0353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303539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303539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303539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0353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0353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303539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303539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303539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0353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0353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303539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303539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303539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0353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0353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303539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303539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303539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0353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0353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303539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303539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303539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0353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0353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303539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303539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303539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0353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0353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303539" w:themeColor="text1"/>
      </w:rPr>
    </w:tblStylePr>
    <w:tblStylePr w:type="nwCell">
      <w:rPr>
        <w:color w:val="303539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303539" w:themeColor="text1"/>
      </w:rPr>
    </w:tblStylePr>
    <w:tblStylePr w:type="nwCell">
      <w:rPr>
        <w:color w:val="303539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303539" w:themeColor="text1"/>
      </w:rPr>
    </w:tblStylePr>
    <w:tblStylePr w:type="nwCell">
      <w:rPr>
        <w:color w:val="303539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303539" w:themeColor="text1"/>
      </w:rPr>
    </w:tblStylePr>
    <w:tblStylePr w:type="nwCell">
      <w:rPr>
        <w:color w:val="303539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303539" w:themeColor="text1"/>
      </w:rPr>
    </w:tblStylePr>
    <w:tblStylePr w:type="nwCell">
      <w:rPr>
        <w:color w:val="303539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303539" w:themeColor="text1"/>
      </w:rPr>
    </w:tblStylePr>
    <w:tblStylePr w:type="nwCell">
      <w:rPr>
        <w:color w:val="303539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303539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303539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303539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303539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303539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303539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303539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303539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303539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303539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303539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303539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303539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303539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303539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303539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303539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303539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303539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303539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303539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303539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303539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303539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303539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303539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303539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0353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0353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303539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303539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303539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0353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0353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303539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303539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303539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0353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0353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303539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303539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303539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0353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0353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303539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303539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303539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0353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0353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303539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303539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303539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0353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0353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303539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303539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303539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0353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0353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303539" w:themeColor="text1"/>
      </w:rPr>
    </w:tblStylePr>
    <w:tblStylePr w:type="nwCell">
      <w:rPr>
        <w:color w:val="303539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303539" w:themeColor="text1"/>
      </w:rPr>
    </w:tblStylePr>
    <w:tblStylePr w:type="nwCell">
      <w:rPr>
        <w:color w:val="303539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303539" w:themeColor="text1"/>
      </w:rPr>
    </w:tblStylePr>
    <w:tblStylePr w:type="nwCell">
      <w:rPr>
        <w:color w:val="303539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303539" w:themeColor="text1"/>
      </w:rPr>
    </w:tblStylePr>
    <w:tblStylePr w:type="nwCell">
      <w:rPr>
        <w:color w:val="303539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303539" w:themeColor="text1"/>
      </w:rPr>
    </w:tblStylePr>
    <w:tblStylePr w:type="nwCell">
      <w:rPr>
        <w:color w:val="303539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303539" w:themeColor="text1"/>
      </w:rPr>
    </w:tblStylePr>
    <w:tblStylePr w:type="nwCell">
      <w:rPr>
        <w:color w:val="303539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303539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303539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303539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303539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303539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303539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303539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303539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303539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Change Specialists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Choosing Your Delivery Approach</dc:title>
  <dc:subject>Guide to selecting waterfall, agile or hybrid delivery.</dc:subject>
  <dc:creator>Change Specialists</dc:creator>
  <cp:keywords>Change Specialists; template</cp:keywords>
  <dc:description>Guide to selecting waterfall, agile or hybrid delivery.</dc:description>
  <cp:lastModifiedBy>Change Specialists</cp:lastModifiedBy>
  <cp:revision>1</cp:revision>
  <dcterms:created xsi:type="dcterms:W3CDTF">2013-12-23T23:15:00Z</dcterms:created>
  <dcterms:modified xsi:type="dcterms:W3CDTF">2013-12-23T23:15:00Z</dcterms:modified>
  <cp:category>Template</cp:category>
  <cp:contentStatus>Template</cp:contentStatus>
  <dc:identifier>None</dc:identifier>
</cp:coreProperties>
</file>